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1F5EE" w14:textId="77777777" w:rsidR="00F113DE" w:rsidRDefault="00F113DE" w:rsidP="00F113DE">
      <w:pPr>
        <w:spacing w:line="660" w:lineRule="atLeast"/>
        <w:textAlignment w:val="baseline"/>
        <w:outlineLvl w:val="0"/>
        <w:rPr>
          <w:color w:val="202224"/>
          <w:spacing w:val="-11"/>
          <w:kern w:val="36"/>
          <w:sz w:val="57"/>
          <w:szCs w:val="57"/>
        </w:rPr>
      </w:pPr>
      <w:r>
        <w:rPr>
          <w:color w:val="202224"/>
          <w:spacing w:val="-11"/>
          <w:kern w:val="36"/>
          <w:sz w:val="57"/>
          <w:szCs w:val="57"/>
        </w:rPr>
        <w:t>North-South divide</w:t>
      </w:r>
    </w:p>
    <w:p w14:paraId="2A12D3F5" w14:textId="77777777" w:rsidR="00F113DE" w:rsidRPr="00F113DE" w:rsidRDefault="00F113DE" w:rsidP="00F113DE">
      <w:pPr>
        <w:pStyle w:val="NormalWeb"/>
        <w:shd w:val="clear" w:color="auto" w:fill="FFFFFF"/>
        <w:spacing w:before="0" w:beforeAutospacing="0" w:after="0" w:afterAutospacing="0"/>
        <w:textAlignment w:val="baseline"/>
        <w:rPr>
          <w:color w:val="141414"/>
          <w:sz w:val="27"/>
          <w:szCs w:val="27"/>
        </w:rPr>
      </w:pPr>
      <w:r w:rsidRPr="00F113DE">
        <w:rPr>
          <w:color w:val="141414"/>
          <w:sz w:val="27"/>
          <w:szCs w:val="27"/>
        </w:rPr>
        <w:br/>
        <w:t>It has long been recognised that there is a north/south divide in the UK.</w:t>
      </w:r>
    </w:p>
    <w:p w14:paraId="2F5A3599" w14:textId="77777777" w:rsidR="00F113DE" w:rsidRPr="00F113DE" w:rsidRDefault="00F113DE" w:rsidP="00F113DE">
      <w:pPr>
        <w:pStyle w:val="NormalWeb"/>
        <w:shd w:val="clear" w:color="auto" w:fill="FFFFFF"/>
        <w:spacing w:before="0" w:beforeAutospacing="0" w:after="0" w:afterAutospacing="0"/>
        <w:textAlignment w:val="baseline"/>
        <w:rPr>
          <w:color w:val="141414"/>
          <w:sz w:val="27"/>
          <w:szCs w:val="27"/>
        </w:rPr>
      </w:pPr>
      <w:r w:rsidRPr="00F113DE">
        <w:rPr>
          <w:color w:val="141414"/>
          <w:sz w:val="27"/>
          <w:szCs w:val="27"/>
        </w:rPr>
        <w:t>Although there have been attempts to attract investment into the north, many businesses are choosing to set up in the south. This creates a large wealth divide and those living in the north of the country experience significantly different social and economic conditions from those living in the south.</w:t>
      </w:r>
    </w:p>
    <w:p w14:paraId="32C6EF06" w14:textId="075AB7BD" w:rsidR="00F113DE" w:rsidRPr="00F113DE" w:rsidRDefault="00F113DE" w:rsidP="00F113DE">
      <w:pPr>
        <w:shd w:val="clear" w:color="auto" w:fill="FFFFFF"/>
        <w:textAlignment w:val="baseline"/>
        <w:rPr>
          <w:color w:val="141414"/>
          <w:sz w:val="27"/>
          <w:szCs w:val="27"/>
        </w:rPr>
      </w:pPr>
      <w:r w:rsidRPr="00F113DE">
        <w:rPr>
          <w:color w:val="141414"/>
          <w:sz w:val="27"/>
          <w:szCs w:val="27"/>
        </w:rPr>
        <w:fldChar w:fldCharType="begin"/>
      </w:r>
      <w:r w:rsidRPr="00F113DE">
        <w:rPr>
          <w:color w:val="141414"/>
          <w:sz w:val="27"/>
          <w:szCs w:val="27"/>
        </w:rPr>
        <w:instrText xml:space="preserve"> INCLUDEPICTURE "https://bam.files.bbci.co.uk/bam/live/content/zskfrwx/small" \* MERGEFORMATINET </w:instrText>
      </w:r>
      <w:r w:rsidRPr="00F113DE">
        <w:rPr>
          <w:color w:val="141414"/>
          <w:sz w:val="27"/>
          <w:szCs w:val="27"/>
        </w:rPr>
        <w:fldChar w:fldCharType="separate"/>
      </w:r>
      <w:r w:rsidRPr="00F113DE">
        <w:rPr>
          <w:noProof/>
          <w:color w:val="141414"/>
          <w:sz w:val="27"/>
          <w:szCs w:val="27"/>
        </w:rPr>
        <w:drawing>
          <wp:inline distT="0" distB="0" distL="0" distR="0" wp14:anchorId="71F39E75" wp14:editId="60D2858F">
            <wp:extent cx="3864610" cy="5366385"/>
            <wp:effectExtent l="0" t="0" r="0" b="5715"/>
            <wp:docPr id="1277966249" name="Picture 3" descr="The North-South divide separates Gloucester, Leicester and Lincoln in the &quot;South&quot;, and Birmingham, Nottingham and Hull in the &quot;Nort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North-South divide separates Gloucester, Leicester and Lincoln in the &quot;South&quot;, and Birmingham, Nottingham and Hull in the &quot;North&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4610" cy="5366385"/>
                    </a:xfrm>
                    <a:prstGeom prst="rect">
                      <a:avLst/>
                    </a:prstGeom>
                    <a:noFill/>
                    <a:ln>
                      <a:noFill/>
                    </a:ln>
                  </pic:spPr>
                </pic:pic>
              </a:graphicData>
            </a:graphic>
          </wp:inline>
        </w:drawing>
      </w:r>
      <w:r w:rsidRPr="00F113DE">
        <w:rPr>
          <w:color w:val="141414"/>
          <w:sz w:val="27"/>
          <w:szCs w:val="27"/>
        </w:rPr>
        <w:fldChar w:fldCharType="end"/>
      </w:r>
    </w:p>
    <w:p w14:paraId="759A90F8" w14:textId="69DD8B8F" w:rsidR="00F113DE" w:rsidRPr="00F113DE" w:rsidRDefault="00F113DE" w:rsidP="00F113DE">
      <w:pPr>
        <w:pStyle w:val="NormalWeb"/>
        <w:shd w:val="clear" w:color="auto" w:fill="FFFFFF"/>
        <w:spacing w:before="0" w:beforeAutospacing="0" w:after="0" w:afterAutospacing="0"/>
        <w:textAlignment w:val="baseline"/>
        <w:rPr>
          <w:color w:val="141414"/>
          <w:sz w:val="27"/>
          <w:szCs w:val="27"/>
        </w:rPr>
      </w:pPr>
      <w:r w:rsidRPr="00F113DE">
        <w:rPr>
          <w:color w:val="141414"/>
          <w:sz w:val="27"/>
          <w:szCs w:val="27"/>
        </w:rPr>
        <w:t xml:space="preserve">The Centre for Cities is a charity that measures economic growth and change in 64 UK cities. In 2015, it found that for every 12 jobs created since 2004 in southern cities, only one was created in cities </w:t>
      </w:r>
      <w:r w:rsidRPr="00F113DE">
        <w:rPr>
          <w:color w:val="141414"/>
          <w:sz w:val="27"/>
          <w:szCs w:val="27"/>
        </w:rPr>
        <w:t>in the north</w:t>
      </w:r>
      <w:r w:rsidRPr="00F113DE">
        <w:rPr>
          <w:color w:val="141414"/>
          <w:sz w:val="27"/>
          <w:szCs w:val="27"/>
        </w:rPr>
        <w:t>. Cities like London and Milton Keynes in the south have seen a growth in the number of jobs available, whilst Blackpool and Hull in the north have seen a decline.</w:t>
      </w:r>
    </w:p>
    <w:p w14:paraId="4AB9C8C4" w14:textId="4A35BAD7" w:rsidR="00F113DE" w:rsidRDefault="00F113DE" w:rsidP="00F113DE">
      <w:pPr>
        <w:spacing w:line="660" w:lineRule="atLeast"/>
        <w:textAlignment w:val="baseline"/>
        <w:outlineLvl w:val="0"/>
        <w:rPr>
          <w:color w:val="202224"/>
          <w:spacing w:val="-11"/>
          <w:kern w:val="36"/>
          <w:sz w:val="57"/>
          <w:szCs w:val="57"/>
        </w:rPr>
      </w:pPr>
    </w:p>
    <w:p w14:paraId="2F5D4E59" w14:textId="77777777" w:rsidR="00F113DE" w:rsidRDefault="00F113DE" w:rsidP="00F113DE">
      <w:pPr>
        <w:spacing w:line="660" w:lineRule="atLeast"/>
        <w:textAlignment w:val="baseline"/>
        <w:outlineLvl w:val="0"/>
        <w:rPr>
          <w:color w:val="202224"/>
          <w:spacing w:val="-11"/>
          <w:kern w:val="36"/>
          <w:sz w:val="57"/>
          <w:szCs w:val="57"/>
        </w:rPr>
      </w:pPr>
    </w:p>
    <w:p w14:paraId="2565C8D7" w14:textId="49A49A21" w:rsidR="00F113DE" w:rsidRPr="00F113DE" w:rsidRDefault="00F113DE" w:rsidP="00F113DE">
      <w:pPr>
        <w:spacing w:line="660" w:lineRule="atLeast"/>
        <w:textAlignment w:val="baseline"/>
        <w:outlineLvl w:val="0"/>
        <w:rPr>
          <w:color w:val="202224"/>
          <w:spacing w:val="-11"/>
          <w:kern w:val="36"/>
          <w:sz w:val="57"/>
          <w:szCs w:val="57"/>
        </w:rPr>
      </w:pPr>
      <w:r w:rsidRPr="00F113DE">
        <w:rPr>
          <w:color w:val="202224"/>
          <w:spacing w:val="-11"/>
          <w:kern w:val="36"/>
          <w:sz w:val="57"/>
          <w:szCs w:val="57"/>
        </w:rPr>
        <w:lastRenderedPageBreak/>
        <w:t xml:space="preserve">North-South divide for older people </w:t>
      </w:r>
    </w:p>
    <w:p w14:paraId="646C37F2" w14:textId="77777777" w:rsidR="00F113DE" w:rsidRDefault="00F113DE" w:rsidP="00F113DE">
      <w:pPr>
        <w:spacing w:line="390" w:lineRule="atLeast"/>
        <w:textAlignment w:val="baseline"/>
        <w:rPr>
          <w:color w:val="202224"/>
          <w:spacing w:val="-5"/>
          <w:sz w:val="27"/>
          <w:szCs w:val="27"/>
        </w:rPr>
      </w:pPr>
      <w:r w:rsidRPr="00F113DE">
        <w:rPr>
          <w:color w:val="202224"/>
          <w:spacing w:val="-5"/>
          <w:sz w:val="27"/>
          <w:szCs w:val="27"/>
        </w:rPr>
        <w:t>Older people in the North of England are more likely to be poorer, less healthy, physically inactive, lonely and live in poor housing, according to a new report.</w:t>
      </w:r>
    </w:p>
    <w:p w14:paraId="4667BDA2" w14:textId="77777777" w:rsidR="00F113DE" w:rsidRPr="00F113DE" w:rsidRDefault="00F113DE" w:rsidP="00F113DE">
      <w:pPr>
        <w:spacing w:line="390" w:lineRule="atLeast"/>
        <w:textAlignment w:val="baseline"/>
        <w:rPr>
          <w:color w:val="202224"/>
          <w:spacing w:val="-5"/>
          <w:sz w:val="27"/>
          <w:szCs w:val="27"/>
        </w:rPr>
      </w:pPr>
    </w:p>
    <w:p w14:paraId="26AB1FB9" w14:textId="77777777" w:rsidR="00F113DE" w:rsidRDefault="00F113DE" w:rsidP="00F113DE">
      <w:pPr>
        <w:spacing w:line="390" w:lineRule="atLeast"/>
        <w:textAlignment w:val="baseline"/>
        <w:rPr>
          <w:color w:val="202224"/>
          <w:spacing w:val="-5"/>
          <w:sz w:val="27"/>
          <w:szCs w:val="27"/>
        </w:rPr>
      </w:pPr>
      <w:r w:rsidRPr="00F113DE">
        <w:rPr>
          <w:color w:val="202224"/>
          <w:spacing w:val="-5"/>
          <w:sz w:val="27"/>
          <w:szCs w:val="27"/>
        </w:rPr>
        <w:t>The Ageing in the North study, from the Northern Health Science Alliance (NHSA), said those in the north faced an "alarming" range of disadvantages compared to older people living in the south.</w:t>
      </w:r>
    </w:p>
    <w:p w14:paraId="5A8BA68B" w14:textId="77777777" w:rsidR="00F113DE" w:rsidRPr="00F113DE" w:rsidRDefault="00F113DE" w:rsidP="00F113DE">
      <w:pPr>
        <w:spacing w:line="390" w:lineRule="atLeast"/>
        <w:textAlignment w:val="baseline"/>
        <w:rPr>
          <w:color w:val="202224"/>
          <w:spacing w:val="-5"/>
          <w:sz w:val="27"/>
          <w:szCs w:val="27"/>
        </w:rPr>
      </w:pPr>
    </w:p>
    <w:p w14:paraId="0DECC9C3" w14:textId="3B71BF8B" w:rsidR="00F113DE" w:rsidRDefault="00F113DE" w:rsidP="00F113DE">
      <w:pPr>
        <w:spacing w:line="390" w:lineRule="atLeast"/>
        <w:textAlignment w:val="baseline"/>
        <w:rPr>
          <w:color w:val="202224"/>
          <w:spacing w:val="-5"/>
          <w:sz w:val="27"/>
          <w:szCs w:val="27"/>
        </w:rPr>
      </w:pPr>
      <w:r>
        <w:rPr>
          <w:color w:val="202224"/>
          <w:spacing w:val="-5"/>
          <w:sz w:val="27"/>
          <w:szCs w:val="27"/>
        </w:rPr>
        <w:t>A</w:t>
      </w:r>
      <w:r w:rsidRPr="00F113DE">
        <w:rPr>
          <w:color w:val="202224"/>
          <w:spacing w:val="-5"/>
          <w:sz w:val="27"/>
          <w:szCs w:val="27"/>
        </w:rPr>
        <w:t>uthor Prof Alan Walker, from the University of Sheffield, said while the North-South divide was "hardly new" the NHSA believed it was "totally reversible" and called on the government to "</w:t>
      </w:r>
      <w:r>
        <w:rPr>
          <w:color w:val="202224"/>
          <w:spacing w:val="-5"/>
          <w:sz w:val="27"/>
          <w:szCs w:val="27"/>
        </w:rPr>
        <w:t>start</w:t>
      </w:r>
      <w:r w:rsidRPr="00F113DE">
        <w:rPr>
          <w:color w:val="202224"/>
          <w:spacing w:val="-5"/>
          <w:sz w:val="27"/>
          <w:szCs w:val="27"/>
        </w:rPr>
        <w:t xml:space="preserve"> tackling the causes of unequal ageing".</w:t>
      </w:r>
    </w:p>
    <w:p w14:paraId="0CC175DB" w14:textId="77777777" w:rsidR="00F113DE" w:rsidRPr="00F113DE" w:rsidRDefault="00F113DE" w:rsidP="00F113DE">
      <w:pPr>
        <w:spacing w:line="390" w:lineRule="atLeast"/>
        <w:textAlignment w:val="baseline"/>
        <w:rPr>
          <w:color w:val="202224"/>
          <w:spacing w:val="-5"/>
          <w:sz w:val="27"/>
          <w:szCs w:val="27"/>
        </w:rPr>
      </w:pPr>
    </w:p>
    <w:p w14:paraId="5004F13D" w14:textId="6D020375" w:rsidR="00F113DE" w:rsidRDefault="00F113DE" w:rsidP="00F113DE">
      <w:pPr>
        <w:spacing w:line="390" w:lineRule="atLeast"/>
        <w:textAlignment w:val="baseline"/>
        <w:rPr>
          <w:color w:val="202224"/>
          <w:spacing w:val="-5"/>
          <w:sz w:val="27"/>
          <w:szCs w:val="27"/>
        </w:rPr>
      </w:pPr>
      <w:r w:rsidRPr="00F113DE">
        <w:rPr>
          <w:color w:val="202224"/>
          <w:spacing w:val="-5"/>
          <w:sz w:val="27"/>
          <w:szCs w:val="27"/>
        </w:rPr>
        <w:t xml:space="preserve">The BBC has </w:t>
      </w:r>
      <w:r>
        <w:rPr>
          <w:color w:val="202224"/>
          <w:spacing w:val="-5"/>
          <w:sz w:val="27"/>
          <w:szCs w:val="27"/>
        </w:rPr>
        <w:t>asked</w:t>
      </w:r>
      <w:r w:rsidRPr="00F113DE">
        <w:rPr>
          <w:color w:val="202224"/>
          <w:spacing w:val="-5"/>
          <w:sz w:val="27"/>
          <w:szCs w:val="27"/>
        </w:rPr>
        <w:t xml:space="preserve"> the Department of Health and Social Care for a comment.</w:t>
      </w:r>
    </w:p>
    <w:p w14:paraId="4A945305" w14:textId="77777777" w:rsidR="00F113DE" w:rsidRPr="00F113DE" w:rsidRDefault="00F113DE" w:rsidP="00F113DE">
      <w:pPr>
        <w:spacing w:line="390" w:lineRule="atLeast"/>
        <w:textAlignment w:val="baseline"/>
        <w:rPr>
          <w:color w:val="202224"/>
          <w:spacing w:val="-5"/>
          <w:sz w:val="27"/>
          <w:szCs w:val="27"/>
        </w:rPr>
      </w:pPr>
    </w:p>
    <w:p w14:paraId="68A7A23A" w14:textId="1C1E0EC8" w:rsidR="00F113DE" w:rsidRDefault="00F113DE" w:rsidP="00F113DE">
      <w:pPr>
        <w:spacing w:line="390" w:lineRule="atLeast"/>
        <w:textAlignment w:val="baseline"/>
        <w:rPr>
          <w:color w:val="202224"/>
          <w:spacing w:val="-5"/>
          <w:sz w:val="27"/>
          <w:szCs w:val="27"/>
        </w:rPr>
      </w:pPr>
      <w:r w:rsidRPr="00F113DE">
        <w:rPr>
          <w:color w:val="202224"/>
          <w:spacing w:val="-5"/>
          <w:sz w:val="27"/>
          <w:szCs w:val="27"/>
        </w:rPr>
        <w:t xml:space="preserve">Prof Walker, from the university's Healthy Lifespan Institute, said: "This report paints an alarming picture of how inequality has </w:t>
      </w:r>
      <w:r>
        <w:rPr>
          <w:color w:val="202224"/>
          <w:spacing w:val="-5"/>
          <w:sz w:val="27"/>
          <w:szCs w:val="27"/>
        </w:rPr>
        <w:t>taken</w:t>
      </w:r>
      <w:r w:rsidRPr="00F113DE">
        <w:rPr>
          <w:color w:val="202224"/>
          <w:spacing w:val="-5"/>
          <w:sz w:val="27"/>
          <w:szCs w:val="27"/>
        </w:rPr>
        <w:t xml:space="preserve"> away the quality of life of so many older northerners.</w:t>
      </w:r>
    </w:p>
    <w:p w14:paraId="1CE668A4" w14:textId="77777777" w:rsidR="00F113DE" w:rsidRPr="00F113DE" w:rsidRDefault="00F113DE" w:rsidP="00F113DE">
      <w:pPr>
        <w:spacing w:line="390" w:lineRule="atLeast"/>
        <w:textAlignment w:val="baseline"/>
        <w:rPr>
          <w:color w:val="202224"/>
          <w:spacing w:val="-5"/>
          <w:sz w:val="27"/>
          <w:szCs w:val="27"/>
        </w:rPr>
      </w:pPr>
    </w:p>
    <w:p w14:paraId="02076896" w14:textId="4829DCA8" w:rsidR="00F113DE" w:rsidRDefault="00F113DE" w:rsidP="00F113DE">
      <w:pPr>
        <w:spacing w:line="390" w:lineRule="atLeast"/>
        <w:textAlignment w:val="baseline"/>
        <w:rPr>
          <w:color w:val="202224"/>
          <w:spacing w:val="-5"/>
          <w:sz w:val="27"/>
          <w:szCs w:val="27"/>
        </w:rPr>
      </w:pPr>
      <w:r w:rsidRPr="00F113DE">
        <w:rPr>
          <w:color w:val="202224"/>
          <w:spacing w:val="-5"/>
          <w:sz w:val="27"/>
          <w:szCs w:val="27"/>
        </w:rPr>
        <w:t>"In almost every aspect we investigated, there is a gap between the North and the South - from their income and health to their housing, social care and sense of isolation.</w:t>
      </w:r>
    </w:p>
    <w:p w14:paraId="51AD80DD" w14:textId="77777777" w:rsidR="00F113DE" w:rsidRPr="00F113DE" w:rsidRDefault="00F113DE" w:rsidP="00F113DE">
      <w:pPr>
        <w:spacing w:line="390" w:lineRule="atLeast"/>
        <w:textAlignment w:val="baseline"/>
        <w:rPr>
          <w:color w:val="202224"/>
          <w:spacing w:val="-5"/>
          <w:sz w:val="27"/>
          <w:szCs w:val="27"/>
        </w:rPr>
      </w:pPr>
    </w:p>
    <w:p w14:paraId="7143E9FA" w14:textId="1CB25655" w:rsidR="00F113DE" w:rsidRDefault="00F113DE" w:rsidP="00F113DE">
      <w:pPr>
        <w:spacing w:line="390" w:lineRule="atLeast"/>
        <w:textAlignment w:val="baseline"/>
        <w:rPr>
          <w:color w:val="202224"/>
          <w:spacing w:val="-5"/>
          <w:sz w:val="27"/>
          <w:szCs w:val="27"/>
        </w:rPr>
      </w:pPr>
      <w:r w:rsidRPr="00F113DE">
        <w:rPr>
          <w:color w:val="202224"/>
          <w:spacing w:val="-5"/>
          <w:sz w:val="27"/>
          <w:szCs w:val="27"/>
        </w:rPr>
        <w:t xml:space="preserve">"This gap is hardly new, but the most frustrating thing about it is that it is reversible - </w:t>
      </w:r>
      <w:r>
        <w:rPr>
          <w:color w:val="202224"/>
          <w:spacing w:val="-5"/>
          <w:sz w:val="27"/>
          <w:szCs w:val="27"/>
        </w:rPr>
        <w:t>if</w:t>
      </w:r>
      <w:r w:rsidRPr="00F113DE">
        <w:rPr>
          <w:color w:val="202224"/>
          <w:spacing w:val="-5"/>
          <w:sz w:val="27"/>
          <w:szCs w:val="27"/>
        </w:rPr>
        <w:t xml:space="preserve"> </w:t>
      </w:r>
      <w:r>
        <w:rPr>
          <w:color w:val="202224"/>
          <w:spacing w:val="-5"/>
          <w:sz w:val="27"/>
          <w:szCs w:val="27"/>
        </w:rPr>
        <w:t>politicians</w:t>
      </w:r>
      <w:r w:rsidRPr="00F113DE">
        <w:rPr>
          <w:color w:val="202224"/>
          <w:spacing w:val="-5"/>
          <w:sz w:val="27"/>
          <w:szCs w:val="27"/>
        </w:rPr>
        <w:t xml:space="preserve"> are willing to take steps to address these issues, and provide a better life for our family members, friends, and neighbours as they age."</w:t>
      </w:r>
    </w:p>
    <w:p w14:paraId="19194117" w14:textId="77777777" w:rsidR="00F113DE" w:rsidRPr="00F113DE" w:rsidRDefault="00F113DE" w:rsidP="00F113DE">
      <w:pPr>
        <w:spacing w:line="390" w:lineRule="atLeast"/>
        <w:textAlignment w:val="baseline"/>
        <w:rPr>
          <w:color w:val="202224"/>
          <w:spacing w:val="-5"/>
          <w:sz w:val="27"/>
          <w:szCs w:val="27"/>
        </w:rPr>
      </w:pPr>
    </w:p>
    <w:p w14:paraId="55741176" w14:textId="78E2D21D" w:rsidR="00F113DE" w:rsidRDefault="00F113DE" w:rsidP="00F113DE">
      <w:pPr>
        <w:spacing w:line="390" w:lineRule="atLeast"/>
        <w:textAlignment w:val="baseline"/>
        <w:rPr>
          <w:color w:val="202224"/>
          <w:spacing w:val="-5"/>
          <w:sz w:val="27"/>
          <w:szCs w:val="27"/>
        </w:rPr>
      </w:pPr>
      <w:hyperlink r:id="rId6" w:tgtFrame="_blank" w:history="1">
        <w:r w:rsidRPr="00F113DE">
          <w:rPr>
            <w:color w:val="202224"/>
            <w:spacing w:val="-5"/>
            <w:sz w:val="27"/>
            <w:szCs w:val="27"/>
            <w:u w:val="single"/>
            <w:bdr w:val="none" w:sz="0" w:space="0" w:color="auto" w:frame="1"/>
          </w:rPr>
          <w:t>The report</w:t>
        </w:r>
      </w:hyperlink>
      <w:r w:rsidRPr="00F113DE">
        <w:rPr>
          <w:color w:val="202224"/>
          <w:spacing w:val="-5"/>
          <w:sz w:val="27"/>
          <w:szCs w:val="27"/>
        </w:rPr>
        <w:t xml:space="preserve"> found that across the North there were more than 900,000 economically inactive </w:t>
      </w:r>
      <w:proofErr w:type="gramStart"/>
      <w:r w:rsidRPr="00F113DE">
        <w:rPr>
          <w:color w:val="202224"/>
          <w:spacing w:val="-5"/>
          <w:sz w:val="27"/>
          <w:szCs w:val="27"/>
        </w:rPr>
        <w:t>50-64 year olds</w:t>
      </w:r>
      <w:proofErr w:type="gramEnd"/>
      <w:r w:rsidRPr="00F113DE">
        <w:rPr>
          <w:color w:val="202224"/>
          <w:spacing w:val="-5"/>
          <w:sz w:val="27"/>
          <w:szCs w:val="27"/>
        </w:rPr>
        <w:t>, contributing to a reduction in GDP of £10.9bn per year.</w:t>
      </w:r>
    </w:p>
    <w:p w14:paraId="117764FF" w14:textId="77777777" w:rsidR="00F113DE" w:rsidRPr="00F113DE" w:rsidRDefault="00F113DE" w:rsidP="00F113DE">
      <w:pPr>
        <w:spacing w:line="390" w:lineRule="atLeast"/>
        <w:textAlignment w:val="baseline"/>
        <w:rPr>
          <w:color w:val="202224"/>
          <w:spacing w:val="-5"/>
          <w:sz w:val="27"/>
          <w:szCs w:val="27"/>
        </w:rPr>
      </w:pPr>
    </w:p>
    <w:p w14:paraId="60CEAD03" w14:textId="77777777" w:rsidR="00F113DE" w:rsidRPr="00F113DE" w:rsidRDefault="00F113DE" w:rsidP="00F113DE">
      <w:pPr>
        <w:spacing w:line="390" w:lineRule="atLeast"/>
        <w:textAlignment w:val="baseline"/>
        <w:rPr>
          <w:color w:val="202224"/>
          <w:spacing w:val="-5"/>
          <w:sz w:val="27"/>
          <w:szCs w:val="27"/>
        </w:rPr>
      </w:pPr>
      <w:r w:rsidRPr="00F113DE">
        <w:rPr>
          <w:color w:val="202224"/>
          <w:spacing w:val="-5"/>
          <w:sz w:val="27"/>
          <w:szCs w:val="27"/>
        </w:rPr>
        <w:t>Among the other findings, it said:</w:t>
      </w:r>
    </w:p>
    <w:p w14:paraId="73D0416D" w14:textId="77777777" w:rsidR="00F113DE" w:rsidRPr="00F113DE" w:rsidRDefault="00F113DE" w:rsidP="00F113DE">
      <w:pPr>
        <w:numPr>
          <w:ilvl w:val="0"/>
          <w:numId w:val="1"/>
        </w:numPr>
        <w:spacing w:line="390" w:lineRule="atLeast"/>
        <w:textAlignment w:val="baseline"/>
        <w:rPr>
          <w:color w:val="202224"/>
          <w:spacing w:val="-5"/>
          <w:sz w:val="27"/>
          <w:szCs w:val="27"/>
        </w:rPr>
      </w:pPr>
      <w:r w:rsidRPr="00F113DE">
        <w:rPr>
          <w:color w:val="202224"/>
          <w:spacing w:val="-5"/>
          <w:sz w:val="27"/>
          <w:szCs w:val="27"/>
        </w:rPr>
        <w:t>People in the South are more likely to retire, while people in the North are more likely to leave the job market because of poor health</w:t>
      </w:r>
    </w:p>
    <w:p w14:paraId="176ADDAC" w14:textId="77777777" w:rsidR="00F113DE" w:rsidRPr="00F113DE" w:rsidRDefault="00F113DE" w:rsidP="00F113DE">
      <w:pPr>
        <w:numPr>
          <w:ilvl w:val="0"/>
          <w:numId w:val="1"/>
        </w:numPr>
        <w:spacing w:line="390" w:lineRule="atLeast"/>
        <w:textAlignment w:val="baseline"/>
        <w:rPr>
          <w:color w:val="202224"/>
          <w:spacing w:val="-5"/>
          <w:sz w:val="27"/>
          <w:szCs w:val="27"/>
        </w:rPr>
      </w:pPr>
      <w:r w:rsidRPr="00F113DE">
        <w:rPr>
          <w:color w:val="202224"/>
          <w:spacing w:val="-5"/>
          <w:sz w:val="27"/>
          <w:szCs w:val="27"/>
        </w:rPr>
        <w:t xml:space="preserve">Between 2012 and 2022 the rate of poverty among over 65s in the </w:t>
      </w:r>
      <w:proofErr w:type="gramStart"/>
      <w:r w:rsidRPr="00F113DE">
        <w:rPr>
          <w:color w:val="202224"/>
          <w:spacing w:val="-5"/>
          <w:sz w:val="27"/>
          <w:szCs w:val="27"/>
        </w:rPr>
        <w:t>North East</w:t>
      </w:r>
      <w:proofErr w:type="gramEnd"/>
      <w:r w:rsidRPr="00F113DE">
        <w:rPr>
          <w:color w:val="202224"/>
          <w:spacing w:val="-5"/>
          <w:sz w:val="27"/>
          <w:szCs w:val="27"/>
        </w:rPr>
        <w:t xml:space="preserve"> and Yorkshire and the Humber rose by 10%</w:t>
      </w:r>
    </w:p>
    <w:p w14:paraId="79C6D8B0" w14:textId="77777777" w:rsidR="00F113DE" w:rsidRPr="00F113DE" w:rsidRDefault="00F113DE" w:rsidP="00F113DE">
      <w:pPr>
        <w:numPr>
          <w:ilvl w:val="0"/>
          <w:numId w:val="1"/>
        </w:numPr>
        <w:spacing w:line="390" w:lineRule="atLeast"/>
        <w:textAlignment w:val="baseline"/>
        <w:rPr>
          <w:color w:val="202224"/>
          <w:spacing w:val="-5"/>
          <w:sz w:val="27"/>
          <w:szCs w:val="27"/>
        </w:rPr>
      </w:pPr>
      <w:r w:rsidRPr="00F113DE">
        <w:rPr>
          <w:color w:val="202224"/>
          <w:spacing w:val="-5"/>
          <w:sz w:val="27"/>
          <w:szCs w:val="27"/>
        </w:rPr>
        <w:lastRenderedPageBreak/>
        <w:t>Northern adults over 65 are 27% more likely to experience food insecurity than those in the South</w:t>
      </w:r>
    </w:p>
    <w:p w14:paraId="5C73C388" w14:textId="77777777" w:rsidR="00F113DE" w:rsidRPr="00F113DE" w:rsidRDefault="00F113DE" w:rsidP="00F113DE">
      <w:pPr>
        <w:numPr>
          <w:ilvl w:val="0"/>
          <w:numId w:val="1"/>
        </w:numPr>
        <w:spacing w:line="390" w:lineRule="atLeast"/>
        <w:textAlignment w:val="baseline"/>
        <w:rPr>
          <w:color w:val="202224"/>
          <w:spacing w:val="-5"/>
          <w:sz w:val="27"/>
          <w:szCs w:val="27"/>
        </w:rPr>
      </w:pPr>
      <w:r w:rsidRPr="00F113DE">
        <w:rPr>
          <w:color w:val="202224"/>
          <w:spacing w:val="-5"/>
          <w:sz w:val="27"/>
          <w:szCs w:val="27"/>
        </w:rPr>
        <w:t>1.47m northern homes are considered "non-decent", with over a third housing residents over 60</w:t>
      </w:r>
    </w:p>
    <w:p w14:paraId="60213250" w14:textId="77777777" w:rsidR="00F113DE" w:rsidRDefault="00F113DE" w:rsidP="00F113DE">
      <w:pPr>
        <w:numPr>
          <w:ilvl w:val="0"/>
          <w:numId w:val="1"/>
        </w:numPr>
        <w:spacing w:line="390" w:lineRule="atLeast"/>
        <w:textAlignment w:val="baseline"/>
        <w:rPr>
          <w:color w:val="202224"/>
          <w:spacing w:val="-5"/>
          <w:sz w:val="27"/>
          <w:szCs w:val="27"/>
        </w:rPr>
      </w:pPr>
      <w:r w:rsidRPr="00F113DE">
        <w:rPr>
          <w:color w:val="202224"/>
          <w:spacing w:val="-5"/>
          <w:sz w:val="27"/>
          <w:szCs w:val="27"/>
        </w:rPr>
        <w:t xml:space="preserve">The </w:t>
      </w:r>
      <w:proofErr w:type="gramStart"/>
      <w:r w:rsidRPr="00F113DE">
        <w:rPr>
          <w:color w:val="202224"/>
          <w:spacing w:val="-5"/>
          <w:sz w:val="27"/>
          <w:szCs w:val="27"/>
        </w:rPr>
        <w:t>North East</w:t>
      </w:r>
      <w:proofErr w:type="gramEnd"/>
      <w:r w:rsidRPr="00F113DE">
        <w:rPr>
          <w:color w:val="202224"/>
          <w:spacing w:val="-5"/>
          <w:sz w:val="27"/>
          <w:szCs w:val="27"/>
        </w:rPr>
        <w:t xml:space="preserve">, </w:t>
      </w:r>
      <w:proofErr w:type="gramStart"/>
      <w:r w:rsidRPr="00F113DE">
        <w:rPr>
          <w:color w:val="202224"/>
          <w:spacing w:val="-5"/>
          <w:sz w:val="27"/>
          <w:szCs w:val="27"/>
        </w:rPr>
        <w:t>North West</w:t>
      </w:r>
      <w:proofErr w:type="gramEnd"/>
      <w:r w:rsidRPr="00F113DE">
        <w:rPr>
          <w:color w:val="202224"/>
          <w:spacing w:val="-5"/>
          <w:sz w:val="27"/>
          <w:szCs w:val="27"/>
        </w:rPr>
        <w:t xml:space="preserve"> and Yorkshire and the Humber were home to </w:t>
      </w:r>
      <w:proofErr w:type="spellStart"/>
      <w:proofErr w:type="gramStart"/>
      <w:r w:rsidRPr="00F113DE">
        <w:rPr>
          <w:color w:val="202224"/>
          <w:spacing w:val="-5"/>
          <w:sz w:val="27"/>
          <w:szCs w:val="27"/>
        </w:rPr>
        <w:t>he</w:t>
      </w:r>
      <w:proofErr w:type="spellEnd"/>
      <w:proofErr w:type="gramEnd"/>
      <w:r w:rsidRPr="00F113DE">
        <w:rPr>
          <w:color w:val="202224"/>
          <w:spacing w:val="-5"/>
          <w:sz w:val="27"/>
          <w:szCs w:val="27"/>
        </w:rPr>
        <w:t xml:space="preserve"> highest proportion of people aged 65 and over living in care homes</w:t>
      </w:r>
    </w:p>
    <w:p w14:paraId="07CCE3AD" w14:textId="77777777" w:rsidR="00F113DE" w:rsidRPr="00F113DE" w:rsidRDefault="00F113DE" w:rsidP="00F113DE">
      <w:pPr>
        <w:spacing w:line="390" w:lineRule="atLeast"/>
        <w:ind w:left="720"/>
        <w:textAlignment w:val="baseline"/>
        <w:rPr>
          <w:color w:val="202224"/>
          <w:spacing w:val="-5"/>
          <w:sz w:val="27"/>
          <w:szCs w:val="27"/>
        </w:rPr>
      </w:pPr>
    </w:p>
    <w:p w14:paraId="0E96E5B1" w14:textId="68325CBF" w:rsidR="00F113DE" w:rsidRDefault="00F113DE" w:rsidP="00F113DE">
      <w:pPr>
        <w:spacing w:line="390" w:lineRule="atLeast"/>
        <w:textAlignment w:val="baseline"/>
        <w:rPr>
          <w:color w:val="202224"/>
          <w:spacing w:val="-5"/>
          <w:sz w:val="27"/>
          <w:szCs w:val="27"/>
        </w:rPr>
      </w:pPr>
      <w:r>
        <w:rPr>
          <w:color w:val="202224"/>
          <w:spacing w:val="-5"/>
          <w:sz w:val="27"/>
          <w:szCs w:val="27"/>
        </w:rPr>
        <w:t>Written</w:t>
      </w:r>
      <w:r w:rsidRPr="00F113DE">
        <w:rPr>
          <w:color w:val="202224"/>
          <w:spacing w:val="-5"/>
          <w:sz w:val="27"/>
          <w:szCs w:val="27"/>
        </w:rPr>
        <w:t xml:space="preserve"> by a team from the University of Sheffield, Durham University, Lancaster University, The University of Manchester and Newcastle University and Health Equity North, the NHSA report urged the government to look at "reversing the widening inequality gap between North and South".</w:t>
      </w:r>
    </w:p>
    <w:p w14:paraId="47FF1547" w14:textId="77777777" w:rsidR="00F113DE" w:rsidRPr="00F113DE" w:rsidRDefault="00F113DE" w:rsidP="00F113DE">
      <w:pPr>
        <w:spacing w:line="390" w:lineRule="atLeast"/>
        <w:textAlignment w:val="baseline"/>
        <w:rPr>
          <w:color w:val="202224"/>
          <w:spacing w:val="-5"/>
          <w:sz w:val="27"/>
          <w:szCs w:val="27"/>
        </w:rPr>
      </w:pPr>
    </w:p>
    <w:p w14:paraId="4DF67F02" w14:textId="77777777" w:rsidR="00F113DE" w:rsidRPr="00F113DE" w:rsidRDefault="00F113DE" w:rsidP="00F113DE">
      <w:pPr>
        <w:spacing w:line="390" w:lineRule="atLeast"/>
        <w:textAlignment w:val="baseline"/>
        <w:rPr>
          <w:color w:val="202224"/>
          <w:spacing w:val="-5"/>
          <w:sz w:val="27"/>
          <w:szCs w:val="27"/>
        </w:rPr>
      </w:pPr>
      <w:r w:rsidRPr="00F113DE">
        <w:rPr>
          <w:color w:val="202224"/>
          <w:spacing w:val="-5"/>
          <w:sz w:val="27"/>
          <w:szCs w:val="27"/>
        </w:rPr>
        <w:t>Amongst other recommendations, the team suggested:</w:t>
      </w:r>
    </w:p>
    <w:p w14:paraId="0473430D" w14:textId="749F3789" w:rsidR="00F113DE" w:rsidRPr="00F113DE" w:rsidRDefault="00F113DE" w:rsidP="00F113DE">
      <w:pPr>
        <w:numPr>
          <w:ilvl w:val="0"/>
          <w:numId w:val="2"/>
        </w:numPr>
        <w:spacing w:line="390" w:lineRule="atLeast"/>
        <w:textAlignment w:val="baseline"/>
        <w:rPr>
          <w:color w:val="202224"/>
          <w:spacing w:val="-5"/>
          <w:sz w:val="27"/>
          <w:szCs w:val="27"/>
        </w:rPr>
      </w:pPr>
      <w:r w:rsidRPr="00F113DE">
        <w:rPr>
          <w:color w:val="202224"/>
          <w:spacing w:val="-5"/>
          <w:sz w:val="27"/>
          <w:szCs w:val="27"/>
        </w:rPr>
        <w:t>A government approach to prevent unequal ageing, looking at education, housing, employment and health</w:t>
      </w:r>
    </w:p>
    <w:p w14:paraId="54DFFC99" w14:textId="1B228A2B" w:rsidR="00F113DE" w:rsidRPr="00F113DE" w:rsidRDefault="00F113DE" w:rsidP="00F113DE">
      <w:pPr>
        <w:numPr>
          <w:ilvl w:val="0"/>
          <w:numId w:val="2"/>
        </w:numPr>
        <w:spacing w:line="390" w:lineRule="atLeast"/>
        <w:textAlignment w:val="baseline"/>
        <w:rPr>
          <w:color w:val="202224"/>
          <w:spacing w:val="-5"/>
          <w:sz w:val="27"/>
          <w:szCs w:val="27"/>
        </w:rPr>
      </w:pPr>
      <w:r w:rsidRPr="00F113DE">
        <w:rPr>
          <w:color w:val="202224"/>
          <w:spacing w:val="-5"/>
          <w:sz w:val="27"/>
          <w:szCs w:val="27"/>
        </w:rPr>
        <w:t>Strengthening collaboration between local government, authorities, housing developers, and the NHS</w:t>
      </w:r>
    </w:p>
    <w:p w14:paraId="2FEA603C" w14:textId="77777777" w:rsidR="00F113DE" w:rsidRDefault="00F113DE" w:rsidP="00F113DE">
      <w:pPr>
        <w:numPr>
          <w:ilvl w:val="0"/>
          <w:numId w:val="2"/>
        </w:numPr>
        <w:spacing w:line="390" w:lineRule="atLeast"/>
        <w:textAlignment w:val="baseline"/>
        <w:rPr>
          <w:color w:val="202224"/>
          <w:spacing w:val="-5"/>
          <w:sz w:val="27"/>
          <w:szCs w:val="27"/>
        </w:rPr>
      </w:pPr>
      <w:r w:rsidRPr="00F113DE">
        <w:rPr>
          <w:color w:val="202224"/>
          <w:spacing w:val="-5"/>
          <w:sz w:val="27"/>
          <w:szCs w:val="27"/>
        </w:rPr>
        <w:t>Developing a national housing strategy for older people and creating age-friendly, accessible homes</w:t>
      </w:r>
    </w:p>
    <w:p w14:paraId="0DD0CCC1" w14:textId="77777777" w:rsidR="00F113DE" w:rsidRPr="00F113DE" w:rsidRDefault="00F113DE" w:rsidP="00F113DE">
      <w:pPr>
        <w:spacing w:line="390" w:lineRule="atLeast"/>
        <w:textAlignment w:val="baseline"/>
        <w:rPr>
          <w:color w:val="202224"/>
          <w:spacing w:val="-5"/>
          <w:sz w:val="27"/>
          <w:szCs w:val="27"/>
        </w:rPr>
      </w:pPr>
    </w:p>
    <w:p w14:paraId="4D7AB1CA" w14:textId="77777777" w:rsidR="00F113DE" w:rsidRDefault="00F113DE" w:rsidP="00F113DE">
      <w:pPr>
        <w:spacing w:line="390" w:lineRule="atLeast"/>
        <w:textAlignment w:val="baseline"/>
        <w:rPr>
          <w:color w:val="202224"/>
          <w:spacing w:val="-5"/>
          <w:sz w:val="27"/>
          <w:szCs w:val="27"/>
        </w:rPr>
      </w:pPr>
      <w:r w:rsidRPr="00F113DE">
        <w:rPr>
          <w:color w:val="202224"/>
          <w:spacing w:val="-5"/>
          <w:sz w:val="27"/>
          <w:szCs w:val="27"/>
        </w:rPr>
        <w:t>Shipley MP Anna Dixon, who wrote the foreword to the report, said: "Where you live shouldn't affect your experience of ageing.</w:t>
      </w:r>
    </w:p>
    <w:p w14:paraId="5D707E9C" w14:textId="77777777" w:rsidR="00F113DE" w:rsidRPr="00F113DE" w:rsidRDefault="00F113DE" w:rsidP="00F113DE">
      <w:pPr>
        <w:spacing w:line="390" w:lineRule="atLeast"/>
        <w:textAlignment w:val="baseline"/>
        <w:rPr>
          <w:color w:val="202224"/>
          <w:spacing w:val="-5"/>
          <w:sz w:val="27"/>
          <w:szCs w:val="27"/>
        </w:rPr>
      </w:pPr>
    </w:p>
    <w:p w14:paraId="770383F9" w14:textId="77777777" w:rsidR="00F113DE" w:rsidRPr="00F113DE" w:rsidRDefault="00F113DE" w:rsidP="00F113DE">
      <w:pPr>
        <w:spacing w:line="390" w:lineRule="atLeast"/>
        <w:textAlignment w:val="baseline"/>
        <w:rPr>
          <w:color w:val="202224"/>
          <w:spacing w:val="-5"/>
          <w:sz w:val="27"/>
          <w:szCs w:val="27"/>
        </w:rPr>
      </w:pPr>
      <w:r w:rsidRPr="00F113DE">
        <w:rPr>
          <w:color w:val="202224"/>
          <w:spacing w:val="-5"/>
          <w:sz w:val="27"/>
          <w:szCs w:val="27"/>
        </w:rPr>
        <w:t>"This report brings into sharp focus the reality of how unequal ageing is across England."</w:t>
      </w:r>
    </w:p>
    <w:p w14:paraId="341DBA50" w14:textId="77777777" w:rsidR="00B93150" w:rsidRDefault="00B93150"/>
    <w:sectPr w:rsidR="00B93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29FC"/>
    <w:multiLevelType w:val="multilevel"/>
    <w:tmpl w:val="CB0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E6E84"/>
    <w:multiLevelType w:val="multilevel"/>
    <w:tmpl w:val="3C14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4691948">
    <w:abstractNumId w:val="1"/>
  </w:num>
  <w:num w:numId="2" w16cid:durableId="175998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DE"/>
    <w:rsid w:val="008F4506"/>
    <w:rsid w:val="00AF6FD7"/>
    <w:rsid w:val="00B93150"/>
    <w:rsid w:val="00DD6F2E"/>
    <w:rsid w:val="00E07707"/>
    <w:rsid w:val="00E371F8"/>
    <w:rsid w:val="00F11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10DED2"/>
  <w15:chartTrackingRefBased/>
  <w15:docId w15:val="{2DB6F069-E741-1645-9829-B61B9EE5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DE"/>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113D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113D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113D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113DE"/>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113DE"/>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113D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113D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113D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113D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3DE"/>
    <w:rPr>
      <w:rFonts w:eastAsiaTheme="majorEastAsia" w:cstheme="majorBidi"/>
      <w:color w:val="272727" w:themeColor="text1" w:themeTint="D8"/>
    </w:rPr>
  </w:style>
  <w:style w:type="paragraph" w:styleId="Title">
    <w:name w:val="Title"/>
    <w:basedOn w:val="Normal"/>
    <w:next w:val="Normal"/>
    <w:link w:val="TitleChar"/>
    <w:uiPriority w:val="10"/>
    <w:qFormat/>
    <w:rsid w:val="00F113D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11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3D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11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3DE"/>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113DE"/>
    <w:rPr>
      <w:i/>
      <w:iCs/>
      <w:color w:val="404040" w:themeColor="text1" w:themeTint="BF"/>
    </w:rPr>
  </w:style>
  <w:style w:type="paragraph" w:styleId="ListParagraph">
    <w:name w:val="List Paragraph"/>
    <w:basedOn w:val="Normal"/>
    <w:uiPriority w:val="34"/>
    <w:qFormat/>
    <w:rsid w:val="00F113DE"/>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113DE"/>
    <w:rPr>
      <w:i/>
      <w:iCs/>
      <w:color w:val="0F4761" w:themeColor="accent1" w:themeShade="BF"/>
    </w:rPr>
  </w:style>
  <w:style w:type="paragraph" w:styleId="IntenseQuote">
    <w:name w:val="Intense Quote"/>
    <w:basedOn w:val="Normal"/>
    <w:next w:val="Normal"/>
    <w:link w:val="IntenseQuoteChar"/>
    <w:uiPriority w:val="30"/>
    <w:qFormat/>
    <w:rsid w:val="00F113D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113DE"/>
    <w:rPr>
      <w:i/>
      <w:iCs/>
      <w:color w:val="0F4761" w:themeColor="accent1" w:themeShade="BF"/>
    </w:rPr>
  </w:style>
  <w:style w:type="character" w:styleId="IntenseReference">
    <w:name w:val="Intense Reference"/>
    <w:basedOn w:val="DefaultParagraphFont"/>
    <w:uiPriority w:val="32"/>
    <w:qFormat/>
    <w:rsid w:val="00F113DE"/>
    <w:rPr>
      <w:b/>
      <w:bCs/>
      <w:smallCaps/>
      <w:color w:val="0F4761" w:themeColor="accent1" w:themeShade="BF"/>
      <w:spacing w:val="5"/>
    </w:rPr>
  </w:style>
  <w:style w:type="character" w:customStyle="1" w:styleId="sc-28fdc07f-1">
    <w:name w:val="sc-28fdc07f-1"/>
    <w:basedOn w:val="DefaultParagraphFont"/>
    <w:rsid w:val="00F113DE"/>
  </w:style>
  <w:style w:type="character" w:customStyle="1" w:styleId="sc-801dd632-7">
    <w:name w:val="sc-801dd632-7"/>
    <w:basedOn w:val="DefaultParagraphFont"/>
    <w:rsid w:val="00F113DE"/>
  </w:style>
  <w:style w:type="character" w:customStyle="1" w:styleId="sc-d1200759-2">
    <w:name w:val="sc-d1200759-2"/>
    <w:basedOn w:val="DefaultParagraphFont"/>
    <w:rsid w:val="00F113DE"/>
  </w:style>
  <w:style w:type="paragraph" w:customStyle="1" w:styleId="sc-9a00e533-0">
    <w:name w:val="sc-9a00e533-0"/>
    <w:basedOn w:val="Normal"/>
    <w:rsid w:val="00F113DE"/>
    <w:pPr>
      <w:spacing w:before="100" w:beforeAutospacing="1" w:after="100" w:afterAutospacing="1"/>
    </w:pPr>
  </w:style>
  <w:style w:type="character" w:styleId="Hyperlink">
    <w:name w:val="Hyperlink"/>
    <w:basedOn w:val="DefaultParagraphFont"/>
    <w:uiPriority w:val="99"/>
    <w:semiHidden/>
    <w:unhideWhenUsed/>
    <w:rsid w:val="00F113DE"/>
    <w:rPr>
      <w:color w:val="0000FF"/>
      <w:u w:val="single"/>
    </w:rPr>
  </w:style>
  <w:style w:type="paragraph" w:customStyle="1" w:styleId="sc-734a601e-0">
    <w:name w:val="sc-734a601e-0"/>
    <w:basedOn w:val="Normal"/>
    <w:rsid w:val="00F113DE"/>
    <w:pPr>
      <w:spacing w:before="100" w:beforeAutospacing="1" w:after="100" w:afterAutospacing="1"/>
    </w:pPr>
  </w:style>
  <w:style w:type="paragraph" w:styleId="NormalWeb">
    <w:name w:val="Normal (Web)"/>
    <w:basedOn w:val="Normal"/>
    <w:uiPriority w:val="99"/>
    <w:semiHidden/>
    <w:unhideWhenUsed/>
    <w:rsid w:val="00F113DE"/>
    <w:pPr>
      <w:spacing w:before="100" w:beforeAutospacing="1" w:after="100" w:afterAutospacing="1"/>
    </w:pPr>
  </w:style>
  <w:style w:type="character" w:customStyle="1" w:styleId="visually-hidden">
    <w:name w:val="visually-hidden"/>
    <w:basedOn w:val="DefaultParagraphFont"/>
    <w:rsid w:val="00F1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92765">
      <w:bodyDiv w:val="1"/>
      <w:marLeft w:val="0"/>
      <w:marRight w:val="0"/>
      <w:marTop w:val="0"/>
      <w:marBottom w:val="0"/>
      <w:divBdr>
        <w:top w:val="none" w:sz="0" w:space="0" w:color="auto"/>
        <w:left w:val="none" w:sz="0" w:space="0" w:color="auto"/>
        <w:bottom w:val="none" w:sz="0" w:space="0" w:color="auto"/>
        <w:right w:val="none" w:sz="0" w:space="0" w:color="auto"/>
      </w:divBdr>
      <w:divsChild>
        <w:div w:id="258371149">
          <w:marLeft w:val="0"/>
          <w:marRight w:val="0"/>
          <w:marTop w:val="360"/>
          <w:marBottom w:val="240"/>
          <w:divBdr>
            <w:top w:val="none" w:sz="0" w:space="0" w:color="auto"/>
            <w:left w:val="none" w:sz="0" w:space="0" w:color="auto"/>
            <w:bottom w:val="none" w:sz="0" w:space="0" w:color="auto"/>
            <w:right w:val="none" w:sz="0" w:space="0" w:color="auto"/>
          </w:divBdr>
        </w:div>
        <w:div w:id="1327825494">
          <w:marLeft w:val="0"/>
          <w:marRight w:val="0"/>
          <w:marTop w:val="0"/>
          <w:marBottom w:val="240"/>
          <w:divBdr>
            <w:top w:val="none" w:sz="0" w:space="0" w:color="auto"/>
            <w:left w:val="none" w:sz="0" w:space="0" w:color="auto"/>
            <w:bottom w:val="none" w:sz="0" w:space="0" w:color="auto"/>
            <w:right w:val="none" w:sz="0" w:space="0" w:color="auto"/>
          </w:divBdr>
          <w:divsChild>
            <w:div w:id="1057508172">
              <w:marLeft w:val="0"/>
              <w:marRight w:val="0"/>
              <w:marTop w:val="0"/>
              <w:marBottom w:val="0"/>
              <w:divBdr>
                <w:top w:val="none" w:sz="0" w:space="0" w:color="auto"/>
                <w:left w:val="none" w:sz="0" w:space="0" w:color="auto"/>
                <w:bottom w:val="none" w:sz="0" w:space="0" w:color="auto"/>
                <w:right w:val="none" w:sz="0" w:space="0" w:color="auto"/>
              </w:divBdr>
              <w:divsChild>
                <w:div w:id="1132559591">
                  <w:marLeft w:val="0"/>
                  <w:marRight w:val="0"/>
                  <w:marTop w:val="0"/>
                  <w:marBottom w:val="60"/>
                  <w:divBdr>
                    <w:top w:val="none" w:sz="0" w:space="0" w:color="auto"/>
                    <w:left w:val="none" w:sz="0" w:space="0" w:color="auto"/>
                    <w:bottom w:val="none" w:sz="0" w:space="0" w:color="auto"/>
                    <w:right w:val="none" w:sz="0" w:space="0" w:color="auto"/>
                  </w:divBdr>
                  <w:divsChild>
                    <w:div w:id="690692010">
                      <w:marLeft w:val="0"/>
                      <w:marRight w:val="0"/>
                      <w:marTop w:val="0"/>
                      <w:marBottom w:val="0"/>
                      <w:divBdr>
                        <w:top w:val="none" w:sz="0" w:space="0" w:color="auto"/>
                        <w:left w:val="none" w:sz="0" w:space="0" w:color="auto"/>
                        <w:bottom w:val="none" w:sz="0" w:space="0" w:color="auto"/>
                        <w:right w:val="none" w:sz="0" w:space="0" w:color="auto"/>
                      </w:divBdr>
                      <w:divsChild>
                        <w:div w:id="1582105793">
                          <w:marLeft w:val="0"/>
                          <w:marRight w:val="0"/>
                          <w:marTop w:val="0"/>
                          <w:marBottom w:val="0"/>
                          <w:divBdr>
                            <w:top w:val="none" w:sz="0" w:space="0" w:color="auto"/>
                            <w:left w:val="none" w:sz="0" w:space="0" w:color="auto"/>
                            <w:bottom w:val="none" w:sz="0" w:space="0" w:color="auto"/>
                            <w:right w:val="none" w:sz="0" w:space="0" w:color="auto"/>
                          </w:divBdr>
                          <w:divsChild>
                            <w:div w:id="786194775">
                              <w:marLeft w:val="0"/>
                              <w:marRight w:val="0"/>
                              <w:marTop w:val="0"/>
                              <w:marBottom w:val="0"/>
                              <w:divBdr>
                                <w:top w:val="none" w:sz="0" w:space="0" w:color="auto"/>
                                <w:left w:val="none" w:sz="0" w:space="0" w:color="auto"/>
                                <w:bottom w:val="none" w:sz="0" w:space="0" w:color="auto"/>
                                <w:right w:val="none" w:sz="0" w:space="0" w:color="auto"/>
                              </w:divBdr>
                            </w:div>
                          </w:divsChild>
                        </w:div>
                        <w:div w:id="1570076595">
                          <w:marLeft w:val="0"/>
                          <w:marRight w:val="0"/>
                          <w:marTop w:val="0"/>
                          <w:marBottom w:val="0"/>
                          <w:divBdr>
                            <w:top w:val="none" w:sz="0" w:space="0" w:color="auto"/>
                            <w:left w:val="none" w:sz="0" w:space="0" w:color="auto"/>
                            <w:bottom w:val="none" w:sz="0" w:space="0" w:color="auto"/>
                            <w:right w:val="none" w:sz="0" w:space="0" w:color="auto"/>
                          </w:divBdr>
                          <w:divsChild>
                            <w:div w:id="19185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10787">
                  <w:marLeft w:val="0"/>
                  <w:marRight w:val="0"/>
                  <w:marTop w:val="0"/>
                  <w:marBottom w:val="0"/>
                  <w:divBdr>
                    <w:top w:val="none" w:sz="0" w:space="0" w:color="auto"/>
                    <w:left w:val="none" w:sz="0" w:space="0" w:color="auto"/>
                    <w:bottom w:val="none" w:sz="0" w:space="0" w:color="auto"/>
                    <w:right w:val="none" w:sz="0" w:space="0" w:color="auto"/>
                  </w:divBdr>
                  <w:divsChild>
                    <w:div w:id="2065062673">
                      <w:marLeft w:val="0"/>
                      <w:marRight w:val="0"/>
                      <w:marTop w:val="0"/>
                      <w:marBottom w:val="0"/>
                      <w:divBdr>
                        <w:top w:val="none" w:sz="0" w:space="0" w:color="auto"/>
                        <w:left w:val="none" w:sz="0" w:space="0" w:color="auto"/>
                        <w:bottom w:val="none" w:sz="0" w:space="0" w:color="auto"/>
                        <w:right w:val="none" w:sz="0" w:space="0" w:color="auto"/>
                      </w:divBdr>
                      <w:divsChild>
                        <w:div w:id="1750616583">
                          <w:marLeft w:val="0"/>
                          <w:marRight w:val="0"/>
                          <w:marTop w:val="0"/>
                          <w:marBottom w:val="0"/>
                          <w:divBdr>
                            <w:top w:val="none" w:sz="0" w:space="0" w:color="auto"/>
                            <w:left w:val="none" w:sz="0" w:space="0" w:color="auto"/>
                            <w:bottom w:val="none" w:sz="0" w:space="0" w:color="auto"/>
                            <w:right w:val="none" w:sz="0" w:space="0" w:color="auto"/>
                          </w:divBdr>
                          <w:divsChild>
                            <w:div w:id="1338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199842">
          <w:marLeft w:val="0"/>
          <w:marRight w:val="0"/>
          <w:marTop w:val="0"/>
          <w:marBottom w:val="0"/>
          <w:divBdr>
            <w:top w:val="none" w:sz="0" w:space="0" w:color="auto"/>
            <w:left w:val="none" w:sz="0" w:space="0" w:color="auto"/>
            <w:bottom w:val="none" w:sz="0" w:space="0" w:color="auto"/>
            <w:right w:val="none" w:sz="0" w:space="0" w:color="auto"/>
          </w:divBdr>
          <w:divsChild>
            <w:div w:id="925265780">
              <w:marLeft w:val="0"/>
              <w:marRight w:val="0"/>
              <w:marTop w:val="0"/>
              <w:marBottom w:val="0"/>
              <w:divBdr>
                <w:top w:val="none" w:sz="0" w:space="0" w:color="auto"/>
                <w:left w:val="none" w:sz="0" w:space="0" w:color="auto"/>
                <w:bottom w:val="none" w:sz="0" w:space="0" w:color="auto"/>
                <w:right w:val="none" w:sz="0" w:space="0" w:color="auto"/>
              </w:divBdr>
            </w:div>
          </w:divsChild>
        </w:div>
        <w:div w:id="1961111311">
          <w:marLeft w:val="0"/>
          <w:marRight w:val="0"/>
          <w:marTop w:val="0"/>
          <w:marBottom w:val="480"/>
          <w:divBdr>
            <w:top w:val="none" w:sz="0" w:space="0" w:color="auto"/>
            <w:left w:val="none" w:sz="0" w:space="0" w:color="auto"/>
            <w:bottom w:val="none" w:sz="0" w:space="0" w:color="auto"/>
            <w:right w:val="none" w:sz="0" w:space="0" w:color="auto"/>
          </w:divBdr>
        </w:div>
        <w:div w:id="1938831381">
          <w:marLeft w:val="0"/>
          <w:marRight w:val="0"/>
          <w:marTop w:val="0"/>
          <w:marBottom w:val="240"/>
          <w:divBdr>
            <w:top w:val="none" w:sz="0" w:space="0" w:color="auto"/>
            <w:left w:val="none" w:sz="0" w:space="0" w:color="auto"/>
            <w:bottom w:val="none" w:sz="0" w:space="0" w:color="auto"/>
            <w:right w:val="none" w:sz="0" w:space="0" w:color="auto"/>
          </w:divBdr>
        </w:div>
        <w:div w:id="838620261">
          <w:marLeft w:val="0"/>
          <w:marRight w:val="0"/>
          <w:marTop w:val="0"/>
          <w:marBottom w:val="240"/>
          <w:divBdr>
            <w:top w:val="none" w:sz="0" w:space="0" w:color="auto"/>
            <w:left w:val="none" w:sz="0" w:space="0" w:color="auto"/>
            <w:bottom w:val="none" w:sz="0" w:space="0" w:color="auto"/>
            <w:right w:val="none" w:sz="0" w:space="0" w:color="auto"/>
          </w:divBdr>
        </w:div>
        <w:div w:id="701631267">
          <w:marLeft w:val="0"/>
          <w:marRight w:val="0"/>
          <w:marTop w:val="0"/>
          <w:marBottom w:val="0"/>
          <w:divBdr>
            <w:top w:val="none" w:sz="0" w:space="0" w:color="auto"/>
            <w:left w:val="none" w:sz="0" w:space="0" w:color="auto"/>
            <w:bottom w:val="none" w:sz="0" w:space="0" w:color="auto"/>
            <w:right w:val="none" w:sz="0" w:space="0" w:color="auto"/>
          </w:divBdr>
          <w:divsChild>
            <w:div w:id="884173616">
              <w:marLeft w:val="0"/>
              <w:marRight w:val="0"/>
              <w:marTop w:val="0"/>
              <w:marBottom w:val="0"/>
              <w:divBdr>
                <w:top w:val="none" w:sz="0" w:space="0" w:color="auto"/>
                <w:left w:val="none" w:sz="0" w:space="0" w:color="auto"/>
                <w:bottom w:val="none" w:sz="0" w:space="0" w:color="auto"/>
                <w:right w:val="none" w:sz="0" w:space="0" w:color="auto"/>
              </w:divBdr>
            </w:div>
          </w:divsChild>
        </w:div>
        <w:div w:id="1419793664">
          <w:marLeft w:val="0"/>
          <w:marRight w:val="0"/>
          <w:marTop w:val="0"/>
          <w:marBottom w:val="480"/>
          <w:divBdr>
            <w:top w:val="none" w:sz="0" w:space="0" w:color="auto"/>
            <w:left w:val="none" w:sz="0" w:space="0" w:color="auto"/>
            <w:bottom w:val="none" w:sz="0" w:space="0" w:color="auto"/>
            <w:right w:val="none" w:sz="0" w:space="0" w:color="auto"/>
          </w:divBdr>
        </w:div>
        <w:div w:id="32578665">
          <w:marLeft w:val="0"/>
          <w:marRight w:val="0"/>
          <w:marTop w:val="0"/>
          <w:marBottom w:val="240"/>
          <w:divBdr>
            <w:top w:val="none" w:sz="0" w:space="0" w:color="auto"/>
            <w:left w:val="none" w:sz="0" w:space="0" w:color="auto"/>
            <w:bottom w:val="none" w:sz="0" w:space="0" w:color="auto"/>
            <w:right w:val="none" w:sz="0" w:space="0" w:color="auto"/>
          </w:divBdr>
        </w:div>
        <w:div w:id="1992295021">
          <w:marLeft w:val="0"/>
          <w:marRight w:val="0"/>
          <w:marTop w:val="0"/>
          <w:marBottom w:val="240"/>
          <w:divBdr>
            <w:top w:val="none" w:sz="0" w:space="0" w:color="auto"/>
            <w:left w:val="none" w:sz="0" w:space="0" w:color="auto"/>
            <w:bottom w:val="none" w:sz="0" w:space="0" w:color="auto"/>
            <w:right w:val="none" w:sz="0" w:space="0" w:color="auto"/>
          </w:divBdr>
        </w:div>
      </w:divsChild>
    </w:div>
    <w:div w:id="469783017">
      <w:bodyDiv w:val="1"/>
      <w:marLeft w:val="0"/>
      <w:marRight w:val="0"/>
      <w:marTop w:val="0"/>
      <w:marBottom w:val="0"/>
      <w:divBdr>
        <w:top w:val="none" w:sz="0" w:space="0" w:color="auto"/>
        <w:left w:val="none" w:sz="0" w:space="0" w:color="auto"/>
        <w:bottom w:val="none" w:sz="0" w:space="0" w:color="auto"/>
        <w:right w:val="none" w:sz="0" w:space="0" w:color="auto"/>
      </w:divBdr>
      <w:divsChild>
        <w:div w:id="444466743">
          <w:marLeft w:val="0"/>
          <w:marRight w:val="0"/>
          <w:marTop w:val="0"/>
          <w:marBottom w:val="0"/>
          <w:divBdr>
            <w:top w:val="none" w:sz="0" w:space="0" w:color="auto"/>
            <w:left w:val="none" w:sz="0" w:space="0" w:color="auto"/>
            <w:bottom w:val="none" w:sz="0" w:space="0" w:color="auto"/>
            <w:right w:val="none" w:sz="0" w:space="0" w:color="auto"/>
          </w:divBdr>
          <w:divsChild>
            <w:div w:id="2137410903">
              <w:marLeft w:val="0"/>
              <w:marRight w:val="0"/>
              <w:marTop w:val="0"/>
              <w:marBottom w:val="0"/>
              <w:divBdr>
                <w:top w:val="none" w:sz="0" w:space="0" w:color="auto"/>
                <w:left w:val="none" w:sz="0" w:space="0" w:color="auto"/>
                <w:bottom w:val="none" w:sz="0" w:space="0" w:color="auto"/>
                <w:right w:val="none" w:sz="0" w:space="0" w:color="auto"/>
              </w:divBdr>
              <w:divsChild>
                <w:div w:id="13105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2097">
          <w:marLeft w:val="0"/>
          <w:marRight w:val="0"/>
          <w:marTop w:val="0"/>
          <w:marBottom w:val="0"/>
          <w:divBdr>
            <w:top w:val="none" w:sz="0" w:space="0" w:color="auto"/>
            <w:left w:val="none" w:sz="0" w:space="0" w:color="auto"/>
            <w:bottom w:val="none" w:sz="0" w:space="0" w:color="auto"/>
            <w:right w:val="none" w:sz="0" w:space="0" w:color="auto"/>
          </w:divBdr>
          <w:divsChild>
            <w:div w:id="1234391213">
              <w:marLeft w:val="0"/>
              <w:marRight w:val="0"/>
              <w:marTop w:val="0"/>
              <w:marBottom w:val="0"/>
              <w:divBdr>
                <w:top w:val="none" w:sz="0" w:space="0" w:color="auto"/>
                <w:left w:val="none" w:sz="0" w:space="0" w:color="auto"/>
                <w:bottom w:val="none" w:sz="0" w:space="0" w:color="auto"/>
                <w:right w:val="none" w:sz="0" w:space="0" w:color="auto"/>
              </w:divBdr>
              <w:divsChild>
                <w:div w:id="18578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5223">
          <w:marLeft w:val="0"/>
          <w:marRight w:val="0"/>
          <w:marTop w:val="0"/>
          <w:marBottom w:val="0"/>
          <w:divBdr>
            <w:top w:val="none" w:sz="0" w:space="0" w:color="auto"/>
            <w:left w:val="none" w:sz="0" w:space="0" w:color="auto"/>
            <w:bottom w:val="none" w:sz="0" w:space="0" w:color="auto"/>
            <w:right w:val="none" w:sz="0" w:space="0" w:color="auto"/>
          </w:divBdr>
          <w:divsChild>
            <w:div w:id="1507863958">
              <w:marLeft w:val="0"/>
              <w:marRight w:val="0"/>
              <w:marTop w:val="0"/>
              <w:marBottom w:val="0"/>
              <w:divBdr>
                <w:top w:val="none" w:sz="0" w:space="0" w:color="auto"/>
                <w:left w:val="none" w:sz="0" w:space="0" w:color="auto"/>
                <w:bottom w:val="none" w:sz="0" w:space="0" w:color="auto"/>
                <w:right w:val="none" w:sz="0" w:space="0" w:color="auto"/>
              </w:divBdr>
              <w:divsChild>
                <w:div w:id="1349678297">
                  <w:marLeft w:val="0"/>
                  <w:marRight w:val="0"/>
                  <w:marTop w:val="360"/>
                  <w:marBottom w:val="360"/>
                  <w:divBdr>
                    <w:top w:val="none" w:sz="0" w:space="0" w:color="auto"/>
                    <w:left w:val="none" w:sz="0" w:space="0" w:color="auto"/>
                    <w:bottom w:val="none" w:sz="0" w:space="0" w:color="auto"/>
                    <w:right w:val="none" w:sz="0" w:space="0" w:color="auto"/>
                  </w:divBdr>
                  <w:divsChild>
                    <w:div w:id="1443183391">
                      <w:marLeft w:val="0"/>
                      <w:marRight w:val="0"/>
                      <w:marTop w:val="0"/>
                      <w:marBottom w:val="0"/>
                      <w:divBdr>
                        <w:top w:val="none" w:sz="0" w:space="0" w:color="auto"/>
                        <w:left w:val="none" w:sz="0" w:space="0" w:color="auto"/>
                        <w:bottom w:val="none" w:sz="0" w:space="0" w:color="auto"/>
                        <w:right w:val="none" w:sz="0" w:space="0" w:color="auto"/>
                      </w:divBdr>
                      <w:divsChild>
                        <w:div w:id="1969623233">
                          <w:marLeft w:val="0"/>
                          <w:marRight w:val="0"/>
                          <w:marTop w:val="0"/>
                          <w:marBottom w:val="0"/>
                          <w:divBdr>
                            <w:top w:val="none" w:sz="0" w:space="0" w:color="auto"/>
                            <w:left w:val="none" w:sz="0" w:space="0" w:color="auto"/>
                            <w:bottom w:val="none" w:sz="0" w:space="0" w:color="auto"/>
                            <w:right w:val="none" w:sz="0" w:space="0" w:color="auto"/>
                          </w:divBdr>
                        </w:div>
                      </w:divsChild>
                    </w:div>
                    <w:div w:id="6576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9400">
          <w:marLeft w:val="0"/>
          <w:marRight w:val="0"/>
          <w:marTop w:val="0"/>
          <w:marBottom w:val="0"/>
          <w:divBdr>
            <w:top w:val="none" w:sz="0" w:space="0" w:color="auto"/>
            <w:left w:val="none" w:sz="0" w:space="0" w:color="auto"/>
            <w:bottom w:val="none" w:sz="0" w:space="0" w:color="auto"/>
            <w:right w:val="none" w:sz="0" w:space="0" w:color="auto"/>
          </w:divBdr>
          <w:divsChild>
            <w:div w:id="714044833">
              <w:marLeft w:val="0"/>
              <w:marRight w:val="0"/>
              <w:marTop w:val="0"/>
              <w:marBottom w:val="0"/>
              <w:divBdr>
                <w:top w:val="none" w:sz="0" w:space="0" w:color="auto"/>
                <w:left w:val="none" w:sz="0" w:space="0" w:color="auto"/>
                <w:bottom w:val="none" w:sz="0" w:space="0" w:color="auto"/>
                <w:right w:val="none" w:sz="0" w:space="0" w:color="auto"/>
              </w:divBdr>
              <w:divsChild>
                <w:div w:id="14477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nhsa.co.uk/app/uploads/2025/06/AGEING-IN-THE-NORTH-REPORT-EM.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Steele</dc:creator>
  <cp:keywords/>
  <dc:description/>
  <cp:lastModifiedBy>Ruby Steele</cp:lastModifiedBy>
  <cp:revision>1</cp:revision>
  <dcterms:created xsi:type="dcterms:W3CDTF">2025-07-24T22:25:00Z</dcterms:created>
  <dcterms:modified xsi:type="dcterms:W3CDTF">2025-07-24T22:31:00Z</dcterms:modified>
</cp:coreProperties>
</file>